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44B82" w14:textId="77777777" w:rsidR="00AF3EF4" w:rsidRDefault="00AF3EF4">
      <w:pPr>
        <w:spacing w:after="60" w:line="271" w:lineRule="auto"/>
        <w:ind w:left="5112"/>
        <w:jc w:val="both"/>
        <w:rPr>
          <w:rFonts w:ascii="Tahoma" w:eastAsia="Times New Roman" w:hAnsi="Tahoma"/>
          <w:color w:val="0F0F0F"/>
          <w:sz w:val="20"/>
        </w:rPr>
      </w:pPr>
    </w:p>
    <w:p w14:paraId="56117B57" w14:textId="77777777" w:rsidR="00AF3EF4" w:rsidRDefault="00000000">
      <w:pPr>
        <w:spacing w:after="60" w:line="271" w:lineRule="auto"/>
        <w:ind w:left="5112"/>
        <w:jc w:val="both"/>
        <w:rPr>
          <w:rFonts w:ascii="Tahoma" w:eastAsia="Times New Roman" w:hAnsi="Tahoma"/>
          <w:color w:val="0F0F0F"/>
          <w:sz w:val="20"/>
        </w:rPr>
      </w:pPr>
      <w:r>
        <w:rPr>
          <w:rFonts w:ascii="Tahoma" w:eastAsia="Times New Roman" w:hAnsi="Tahoma"/>
          <w:color w:val="0F0F0F"/>
          <w:sz w:val="20"/>
        </w:rPr>
        <w:t>Spett.le</w:t>
      </w:r>
    </w:p>
    <w:p w14:paraId="77B58C86" w14:textId="77777777" w:rsidR="00AF3EF4" w:rsidRDefault="00F04255">
      <w:pPr>
        <w:spacing w:after="60" w:line="271" w:lineRule="auto"/>
        <w:ind w:left="5112"/>
        <w:jc w:val="both"/>
        <w:rPr>
          <w:rFonts w:ascii="Tahoma" w:eastAsia="Times New Roman" w:hAnsi="Tahoma"/>
          <w:color w:val="0F0F0F"/>
          <w:sz w:val="20"/>
        </w:rPr>
      </w:pPr>
      <w:r>
        <w:rPr>
          <w:rFonts w:ascii="Tahoma" w:eastAsia="Times New Roman" w:hAnsi="Tahoma"/>
          <w:b/>
          <w:color w:val="0F0F0F"/>
          <w:sz w:val="20"/>
        </w:rPr>
        <w:t>Amministrazione Provinciale di Vibo Valentia</w:t>
      </w:r>
    </w:p>
    <w:p w14:paraId="0ADCDB4E" w14:textId="77777777" w:rsidR="00AF3EF4" w:rsidRDefault="00F04255">
      <w:pPr>
        <w:spacing w:after="60" w:line="271" w:lineRule="auto"/>
        <w:ind w:left="5112"/>
        <w:jc w:val="both"/>
        <w:rPr>
          <w:rFonts w:ascii="Tahoma" w:eastAsia="Times New Roman" w:hAnsi="Tahoma"/>
          <w:color w:val="0F0F0F"/>
          <w:sz w:val="20"/>
          <w:lang w:val="en-GB"/>
        </w:rPr>
      </w:pPr>
      <w:r>
        <w:rPr>
          <w:rFonts w:ascii="Tahoma" w:eastAsia="Times New Roman" w:hAnsi="Tahoma"/>
          <w:color w:val="0F0F0F"/>
          <w:sz w:val="20"/>
          <w:lang w:val="en-GB"/>
        </w:rPr>
        <w:t>Via C. Pavese 89900 Vibo Valentia</w:t>
      </w:r>
    </w:p>
    <w:p w14:paraId="55D60518" w14:textId="77777777" w:rsidR="00AF3EF4" w:rsidRDefault="00AF3EF4">
      <w:pPr>
        <w:spacing w:after="60" w:line="271" w:lineRule="auto"/>
        <w:ind w:left="5112"/>
        <w:jc w:val="both"/>
        <w:rPr>
          <w:rFonts w:ascii="Tahoma" w:eastAsia="Times New Roman" w:hAnsi="Tahoma"/>
          <w:color w:val="0F0F0F"/>
          <w:sz w:val="20"/>
          <w:lang w:val="en-GB"/>
        </w:rPr>
      </w:pPr>
    </w:p>
    <w:p w14:paraId="0E8E47AF" w14:textId="77777777" w:rsidR="00AF3EF4" w:rsidRDefault="00AF3EF4">
      <w:pPr>
        <w:spacing w:after="60" w:line="271" w:lineRule="auto"/>
        <w:rPr>
          <w:rFonts w:ascii="Tahoma" w:eastAsia="Times New Roman" w:hAnsi="Tahoma"/>
          <w:color w:val="0F0F0F"/>
          <w:sz w:val="20"/>
        </w:rPr>
      </w:pPr>
    </w:p>
    <w:p w14:paraId="0360AF83" w14:textId="77777777" w:rsidR="00AF3EF4" w:rsidRDefault="00AF3EF4">
      <w:pPr>
        <w:pBdr>
          <w:top w:val="single" w:sz="6" w:space="0" w:color="auto"/>
        </w:pBdr>
        <w:spacing w:after="60" w:line="271" w:lineRule="auto"/>
        <w:rPr>
          <w:rFonts w:ascii="Tahoma" w:eastAsia="Times New Roman" w:hAnsi="Tahoma"/>
          <w:color w:val="0F0F0F"/>
          <w:sz w:val="20"/>
        </w:rPr>
      </w:pPr>
    </w:p>
    <w:p w14:paraId="2F39EB24" w14:textId="77777777" w:rsidR="00AF3EF4" w:rsidRDefault="00000000">
      <w:pPr>
        <w:tabs>
          <w:tab w:val="left" w:pos="1420"/>
        </w:tabs>
        <w:spacing w:after="60" w:line="271" w:lineRule="auto"/>
        <w:ind w:left="1420" w:hanging="1420"/>
        <w:jc w:val="both"/>
        <w:rPr>
          <w:rFonts w:ascii="Tahoma" w:eastAsia="Times New Roman" w:hAnsi="Tahoma"/>
          <w:b/>
          <w:color w:val="0F0F0F"/>
          <w:sz w:val="20"/>
        </w:rPr>
      </w:pPr>
      <w:r>
        <w:rPr>
          <w:rFonts w:ascii="Tahoma" w:eastAsia="Times New Roman" w:hAnsi="Tahoma"/>
          <w:b/>
          <w:color w:val="0F0F0F"/>
          <w:sz w:val="20"/>
        </w:rPr>
        <w:t>OGGETTO:</w:t>
      </w:r>
      <w:r>
        <w:rPr>
          <w:rFonts w:ascii="Tahoma" w:eastAsia="Times New Roman" w:hAnsi="Tahoma"/>
          <w:b/>
          <w:color w:val="0F0F0F"/>
          <w:sz w:val="20"/>
        </w:rPr>
        <w:tab/>
        <w:t>Determinazione del corrispettivo a base gara per l'affidamento dei contratti pubblici di servizi attinenti all'architettura e all'ingegneria (D.M. 17/06/2016).</w:t>
      </w:r>
    </w:p>
    <w:p w14:paraId="5BFE808B" w14:textId="7BD75199" w:rsidR="00AF3EF4" w:rsidRDefault="00000000">
      <w:pPr>
        <w:tabs>
          <w:tab w:val="left" w:pos="1420"/>
        </w:tabs>
        <w:spacing w:after="60" w:line="271" w:lineRule="auto"/>
        <w:ind w:left="1420" w:hanging="1420"/>
        <w:jc w:val="both"/>
        <w:rPr>
          <w:rFonts w:ascii="Tahoma" w:eastAsia="Times New Roman" w:hAnsi="Tahoma"/>
          <w:b/>
          <w:color w:val="0F0F0F"/>
          <w:sz w:val="20"/>
        </w:rPr>
      </w:pPr>
      <w:r>
        <w:rPr>
          <w:rFonts w:ascii="Tahoma" w:eastAsia="Times New Roman" w:hAnsi="Tahoma"/>
          <w:b/>
          <w:color w:val="0F0F0F"/>
          <w:sz w:val="20"/>
        </w:rPr>
        <w:t>INCARICO:</w:t>
      </w:r>
      <w:r>
        <w:rPr>
          <w:rFonts w:ascii="Tahoma" w:eastAsia="Times New Roman" w:hAnsi="Tahoma"/>
          <w:b/>
          <w:color w:val="0F0F0F"/>
          <w:sz w:val="20"/>
        </w:rPr>
        <w:tab/>
      </w:r>
      <w:r w:rsidR="00F04255">
        <w:rPr>
          <w:rFonts w:ascii="Tahoma" w:eastAsia="Times New Roman" w:hAnsi="Tahoma"/>
          <w:b/>
          <w:color w:val="0F0F0F"/>
          <w:sz w:val="20"/>
        </w:rPr>
        <w:t xml:space="preserve">Riqualificazione </w:t>
      </w:r>
      <w:r w:rsidR="004B5749">
        <w:rPr>
          <w:rFonts w:ascii="Tahoma" w:eastAsia="Times New Roman" w:hAnsi="Tahoma"/>
          <w:b/>
          <w:color w:val="0F0F0F"/>
          <w:sz w:val="20"/>
        </w:rPr>
        <w:t>“</w:t>
      </w:r>
      <w:r w:rsidR="00F04255">
        <w:rPr>
          <w:rFonts w:ascii="Tahoma" w:eastAsia="Times New Roman" w:hAnsi="Tahoma"/>
          <w:b/>
          <w:color w:val="0F0F0F"/>
          <w:sz w:val="20"/>
        </w:rPr>
        <w:t>Palazzo Gagliardi</w:t>
      </w:r>
      <w:r w:rsidR="004B5749">
        <w:rPr>
          <w:rFonts w:ascii="Tahoma" w:eastAsia="Times New Roman" w:hAnsi="Tahoma"/>
          <w:b/>
          <w:color w:val="0F0F0F"/>
          <w:sz w:val="20"/>
        </w:rPr>
        <w:t>-</w:t>
      </w:r>
      <w:r w:rsidR="00F04255">
        <w:rPr>
          <w:rFonts w:ascii="Tahoma" w:eastAsia="Times New Roman" w:hAnsi="Tahoma"/>
          <w:b/>
          <w:color w:val="0F0F0F"/>
          <w:sz w:val="20"/>
        </w:rPr>
        <w:t>De Riso</w:t>
      </w:r>
      <w:r w:rsidR="004B5749">
        <w:rPr>
          <w:rFonts w:ascii="Tahoma" w:eastAsia="Times New Roman" w:hAnsi="Tahoma"/>
          <w:b/>
          <w:color w:val="0F0F0F"/>
          <w:sz w:val="20"/>
        </w:rPr>
        <w:t>”</w:t>
      </w:r>
      <w:r w:rsidR="00F04255">
        <w:rPr>
          <w:rFonts w:ascii="Tahoma" w:eastAsia="Times New Roman" w:hAnsi="Tahoma"/>
          <w:b/>
          <w:color w:val="0F0F0F"/>
          <w:sz w:val="20"/>
        </w:rPr>
        <w:t xml:space="preserve"> da destinare a </w:t>
      </w:r>
      <w:r w:rsidR="004B5749">
        <w:rPr>
          <w:rFonts w:ascii="Tahoma" w:eastAsia="Times New Roman" w:hAnsi="Tahoma"/>
          <w:b/>
          <w:color w:val="0F0F0F"/>
          <w:sz w:val="20"/>
        </w:rPr>
        <w:t>Polo Culturale e del Turismo Ecosostenibile</w:t>
      </w:r>
    </w:p>
    <w:p w14:paraId="4D9644BD" w14:textId="77777777" w:rsidR="00F04255" w:rsidRDefault="00F04255">
      <w:pPr>
        <w:tabs>
          <w:tab w:val="left" w:pos="1420"/>
        </w:tabs>
        <w:spacing w:after="60" w:line="271" w:lineRule="auto"/>
        <w:ind w:left="1420" w:hanging="1420"/>
        <w:jc w:val="both"/>
        <w:rPr>
          <w:rFonts w:ascii="Tahoma" w:eastAsia="Times New Roman" w:hAnsi="Tahoma"/>
          <w:b/>
          <w:color w:val="0F0F0F"/>
          <w:sz w:val="20"/>
        </w:rPr>
      </w:pPr>
      <w:r>
        <w:rPr>
          <w:rFonts w:ascii="Tahoma" w:eastAsia="Times New Roman" w:hAnsi="Tahoma"/>
          <w:b/>
          <w:color w:val="0F0F0F"/>
          <w:sz w:val="20"/>
        </w:rPr>
        <w:tab/>
        <w:t>CUP: E41E22000130007 – CIG: 9637444E5E</w:t>
      </w:r>
    </w:p>
    <w:p w14:paraId="18D7E440" w14:textId="77777777" w:rsidR="00AF3EF4" w:rsidRDefault="00AF3EF4">
      <w:pPr>
        <w:pBdr>
          <w:bottom w:val="single" w:sz="6" w:space="0" w:color="auto"/>
        </w:pBdr>
        <w:tabs>
          <w:tab w:val="left" w:pos="1420"/>
        </w:tabs>
        <w:spacing w:after="60" w:line="271" w:lineRule="auto"/>
        <w:ind w:left="1420" w:hanging="1420"/>
        <w:jc w:val="both"/>
        <w:rPr>
          <w:rFonts w:ascii="Tahoma" w:eastAsia="Times New Roman" w:hAnsi="Tahoma"/>
          <w:color w:val="0F0F0F"/>
          <w:sz w:val="20"/>
        </w:rPr>
      </w:pPr>
    </w:p>
    <w:p w14:paraId="2D5C19B5" w14:textId="77777777" w:rsidR="00AF3EF4" w:rsidRDefault="00AF3EF4">
      <w:pPr>
        <w:tabs>
          <w:tab w:val="left" w:pos="426"/>
        </w:tabs>
        <w:spacing w:after="60" w:line="269" w:lineRule="auto"/>
        <w:jc w:val="both"/>
        <w:rPr>
          <w:rFonts w:ascii="Tahoma" w:eastAsia="Times New Roman" w:hAnsi="Tahoma"/>
          <w:color w:val="000000"/>
          <w:sz w:val="20"/>
        </w:rPr>
      </w:pPr>
    </w:p>
    <w:p w14:paraId="4152FFE8" w14:textId="77777777" w:rsidR="00AF3EF4" w:rsidRDefault="00000000">
      <w:pPr>
        <w:spacing w:after="60" w:line="269" w:lineRule="auto"/>
        <w:ind w:firstLine="426"/>
        <w:jc w:val="both"/>
        <w:rPr>
          <w:rFonts w:ascii="Tahoma" w:eastAsia="Times New Roman" w:hAnsi="Tahoma"/>
          <w:color w:val="000000"/>
          <w:sz w:val="20"/>
        </w:rPr>
      </w:pPr>
      <w:r>
        <w:rPr>
          <w:rFonts w:ascii="Tahoma" w:eastAsia="Times New Roman" w:hAnsi="Tahoma"/>
          <w:color w:val="000000"/>
          <w:sz w:val="20"/>
        </w:rPr>
        <w:t>Ai sensi del regolamento recante le modalità per la determinazione dei corrispettivi a base di gara per l'affidamento dei contratti pubblici di servizi attinenti all'architettura e all'ingegneria (D.M. 17/06/2016), si identificano le seguenti competenze da porre a base di gara:</w:t>
      </w:r>
    </w:p>
    <w:p w14:paraId="2830483E" w14:textId="77777777" w:rsidR="00AF3EF4" w:rsidRDefault="00AF3EF4">
      <w:pPr>
        <w:jc w:val="both"/>
        <w:rPr>
          <w:rFonts w:eastAsia="Times New Roman"/>
          <w:color w:val="000000"/>
          <w:sz w:val="20"/>
        </w:rPr>
      </w:pPr>
    </w:p>
    <w:p w14:paraId="5F5027A5" w14:textId="77777777" w:rsidR="00AF3EF4" w:rsidRDefault="00000000">
      <w:pPr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COMPENSO PER PRESTAZIONI PROFESSIONALI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"/>
        <w:gridCol w:w="7228"/>
        <w:gridCol w:w="1928"/>
      </w:tblGrid>
      <w:tr w:rsidR="00AF3EF4" w14:paraId="6AFCDE0F" w14:textId="77777777">
        <w:trPr>
          <w:jc w:val="center"/>
        </w:trPr>
        <w:tc>
          <w:tcPr>
            <w:tcW w:w="77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0DDCD4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b/>
                <w:color w:val="000000"/>
                <w:sz w:val="16"/>
              </w:rPr>
              <w:t>Descrizione</w:t>
            </w: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DD7C78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Importo</w:t>
            </w:r>
          </w:p>
        </w:tc>
      </w:tr>
      <w:tr w:rsidR="00AF3EF4" w14:paraId="48DCA89A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1DFD6D2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340E306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B522184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20"/>
              </w:rPr>
              <w:t>euro</w:t>
            </w:r>
          </w:p>
        </w:tc>
      </w:tr>
      <w:tr w:rsidR="00AF3EF4" w14:paraId="291418AD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3D049F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1)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E71816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Edilizia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93D30B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366933AC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0369DC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00DB90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Edifici e manufatti esistenti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3F775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0E7C443D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F0242C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A8B242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Valore dell'opera [V]: 2'500'000.00 €</w:t>
            </w:r>
          </w:p>
          <w:p w14:paraId="19CB54A3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Categoria dell'opera: EDILIZIA</w:t>
            </w:r>
          </w:p>
          <w:p w14:paraId="287AAFB5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Destinazione funzionale: Edifici e manufatti esistenti</w:t>
            </w:r>
          </w:p>
          <w:p w14:paraId="05B378F7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Parametro sul valore dell'opera [P]: 5.7595%</w:t>
            </w:r>
          </w:p>
          <w:p w14:paraId="513456C6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Grado di complessità [G]: 1.55</w:t>
            </w:r>
          </w:p>
          <w:p w14:paraId="5FF1C8DD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Descrizione grado di complessità: [E.22] Interventi di manutenzione straordinaria, ristrutturazione, riqualificazione, su edifici e manufatti di interesse storico artistico soggetti a tutela ai sensi del D.Lgs. 42/2004, oppure di particolare importanza.</w:t>
            </w:r>
          </w:p>
          <w:p w14:paraId="59B3A571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 xml:space="preserve">Specifiche incidenze [Q]: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DED41D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33D8F657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529A9F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02A406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Relazione sismica [QbI.09=0.015]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C5B40FC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3'347.71 €</w:t>
            </w:r>
          </w:p>
        </w:tc>
      </w:tr>
      <w:tr w:rsidR="00AF3EF4" w14:paraId="7A8C0765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6F2593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013432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Relazione geologica: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3C3A0E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17C1DC68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04A580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4E0A6C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Fino a 250'000.00 €: QbI.11=0.039; [P]: 9.9314%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6F2B2CB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1'500.88 €</w:t>
            </w:r>
          </w:p>
        </w:tc>
      </w:tr>
      <w:tr w:rsidR="00AF3EF4" w14:paraId="39F6FAB3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314047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7B83A4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Sull'eccedenza fino a 500'000.00 €: QbI.11=0.01; [P]: 9.9314%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75E5A1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384.84 €</w:t>
            </w:r>
          </w:p>
        </w:tc>
      </w:tr>
      <w:tr w:rsidR="00AF3EF4" w14:paraId="0C4B7BCD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C7B1E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0C22CA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Sull'eccedenza fino a 1'000'000.00 €: QbI.11=0.013; [P]: 8.2531%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B9F60A5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831.50 €</w:t>
            </w:r>
          </w:p>
        </w:tc>
      </w:tr>
      <w:tr w:rsidR="00AF3EF4" w14:paraId="67BD5176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9237D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335F36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Sull'eccedenza fino a 2'500'000.00 €: QbI.11=0.018; [P]: 6.3850%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4D84434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2'672.12 €</w:t>
            </w:r>
          </w:p>
        </w:tc>
      </w:tr>
      <w:tr w:rsidR="00AF3EF4" w:rsidRPr="00D668BE" w14:paraId="7A8B6192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EAFC26" w14:textId="77777777" w:rsidR="00AF3EF4" w:rsidRPr="00D668BE" w:rsidRDefault="00AF3EF4">
            <w:pPr>
              <w:spacing w:before="60" w:after="60"/>
              <w:rPr>
                <w:rFonts w:ascii="Tahoma" w:eastAsia="Times New Roman" w:hAnsi="Tahoma"/>
                <w:b/>
                <w:bCs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D8274E" w14:textId="77777777" w:rsidR="00AF3EF4" w:rsidRPr="00D668BE" w:rsidRDefault="00000000">
            <w:pPr>
              <w:spacing w:before="60" w:after="60"/>
              <w:rPr>
                <w:rFonts w:ascii="Tahoma" w:eastAsia="Times New Roman" w:hAnsi="Tahoma"/>
                <w:b/>
                <w:bCs/>
                <w:color w:val="000000"/>
                <w:sz w:val="20"/>
              </w:rPr>
            </w:pPr>
            <w:r w:rsidRPr="00D668BE">
              <w:rPr>
                <w:rFonts w:ascii="Tahoma" w:eastAsia="Times New Roman" w:hAnsi="Tahoma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068AB95" w14:textId="77777777" w:rsidR="00AF3EF4" w:rsidRPr="00D668BE" w:rsidRDefault="00000000">
            <w:pPr>
              <w:spacing w:before="60" w:after="60"/>
              <w:jc w:val="right"/>
              <w:rPr>
                <w:rFonts w:ascii="Tahoma" w:eastAsia="Times New Roman" w:hAnsi="Tahoma"/>
                <w:b/>
                <w:bCs/>
                <w:color w:val="000000"/>
                <w:sz w:val="20"/>
              </w:rPr>
            </w:pPr>
            <w:r w:rsidRPr="00D668BE">
              <w:rPr>
                <w:rFonts w:ascii="Tahoma" w:eastAsia="Times New Roman" w:hAnsi="Tahoma"/>
                <w:b/>
                <w:bCs/>
                <w:color w:val="000000"/>
                <w:sz w:val="20"/>
              </w:rPr>
              <w:t>8'737.05 €</w:t>
            </w:r>
          </w:p>
        </w:tc>
      </w:tr>
      <w:tr w:rsidR="00D668BE" w14:paraId="26AC51F0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2B145A" w14:textId="77777777" w:rsidR="00D668BE" w:rsidRDefault="00D668BE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B89358" w14:textId="77777777" w:rsidR="00D668BE" w:rsidRDefault="00D668BE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6F957DC" w14:textId="77777777" w:rsidR="00D668BE" w:rsidRDefault="00D668BE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</w:p>
        </w:tc>
      </w:tr>
      <w:tr w:rsidR="00AF3EF4" w14:paraId="0FCE60CD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034D0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2)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86D41F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Strutture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848AD1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1A6DA7A5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644919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553FDD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Strutture, opere infrastrutturali puntuali, verifiche soggette ad azioni sismiche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7FDDD2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7135B849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51D0F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3F8CA86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Valore dell'opera [V]: 1'000'000.00 €</w:t>
            </w:r>
          </w:p>
          <w:p w14:paraId="0A7E5D1C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Categoria dell'opera: STRUTTURE</w:t>
            </w:r>
          </w:p>
          <w:p w14:paraId="2CC6BA43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 xml:space="preserve">Destinazione funzionale: Strutture, opere infrastrutturali puntuali, verifiche soggette ad azioni </w:t>
            </w:r>
            <w:r>
              <w:rPr>
                <w:rFonts w:ascii="Tahoma" w:eastAsia="Times New Roman" w:hAnsi="Tahoma"/>
                <w:color w:val="000000"/>
                <w:sz w:val="16"/>
              </w:rPr>
              <w:lastRenderedPageBreak/>
              <w:t>sismiche</w:t>
            </w:r>
          </w:p>
          <w:p w14:paraId="5EE473EE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Parametro sul valore dell'opera [P]: 6.9811%</w:t>
            </w:r>
          </w:p>
          <w:p w14:paraId="7D405842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Grado di complessità [G]: 0.9</w:t>
            </w:r>
          </w:p>
          <w:p w14:paraId="2886E446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Descrizione grado di complessità: [S.04] Strutture o parti di strutture in muratura, legno, metallo di media complessità o ricadenti in zona sismica - Verifiche strutturali relative - Consolidamento delle opere di fondazione di manufatti dissestati - Ponti, Paratie e tiranti, Consolidamento di pendii e di fronti rocciosi ed opere connesse, di tipo corrente soggette ad azioni sismiche - Verificahe strutture relative.</w:t>
            </w:r>
          </w:p>
          <w:p w14:paraId="59F0147D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 xml:space="preserve">Specifiche incidenze [Q]: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EEF0D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65A42307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EBBE4F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2F0A4DB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Relazione sismica [QbI.09=0.015]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4F13C53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942.45 €</w:t>
            </w:r>
          </w:p>
        </w:tc>
      </w:tr>
      <w:tr w:rsidR="00AF3EF4" w14:paraId="33822779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E0AC84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73027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Relazione geologica: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80F06BC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0E4CC6EA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312A3F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2E6BD5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Fino a 250'000.00 €: QbI.11=0.053; [P]: 9.9314%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EBA603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1'184.32 €</w:t>
            </w:r>
          </w:p>
        </w:tc>
      </w:tr>
      <w:tr w:rsidR="00AF3EF4" w14:paraId="7D5B0301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77C25F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68754D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Sull'eccedenza fino a 500'000.00 €: QbI.11=0.048; [P]: 9.9314%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D68ED0E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1'072.59 €</w:t>
            </w:r>
          </w:p>
        </w:tc>
      </w:tr>
      <w:tr w:rsidR="00AF3EF4" w14:paraId="1F17B32B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F4429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E36AA0B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Sull'eccedenza fino a 1'000'000.00 €: QbI.11=0.044; [P]: 8.2531%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2636F8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1'634.11 €</w:t>
            </w:r>
          </w:p>
        </w:tc>
      </w:tr>
      <w:tr w:rsidR="00AF3EF4" w:rsidRPr="00D668BE" w14:paraId="16AB0A90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4141C0" w14:textId="77777777" w:rsidR="00AF3EF4" w:rsidRPr="00D668BE" w:rsidRDefault="00AF3EF4">
            <w:pPr>
              <w:spacing w:before="60" w:after="60"/>
              <w:rPr>
                <w:rFonts w:ascii="Tahoma" w:eastAsia="Times New Roman" w:hAnsi="Tahoma"/>
                <w:b/>
                <w:bCs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844761" w14:textId="77777777" w:rsidR="00AF3EF4" w:rsidRPr="00D668BE" w:rsidRDefault="00000000">
            <w:pPr>
              <w:spacing w:before="60" w:after="60"/>
              <w:rPr>
                <w:rFonts w:ascii="Tahoma" w:eastAsia="Times New Roman" w:hAnsi="Tahoma"/>
                <w:b/>
                <w:bCs/>
                <w:color w:val="000000"/>
                <w:sz w:val="20"/>
              </w:rPr>
            </w:pPr>
            <w:r w:rsidRPr="00D668BE">
              <w:rPr>
                <w:rFonts w:ascii="Tahoma" w:eastAsia="Times New Roman" w:hAnsi="Tahoma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AB32BFC" w14:textId="77777777" w:rsidR="00AF3EF4" w:rsidRPr="00D668BE" w:rsidRDefault="00000000">
            <w:pPr>
              <w:spacing w:before="60" w:after="60"/>
              <w:jc w:val="right"/>
              <w:rPr>
                <w:rFonts w:ascii="Tahoma" w:eastAsia="Times New Roman" w:hAnsi="Tahoma"/>
                <w:b/>
                <w:bCs/>
                <w:color w:val="000000"/>
                <w:sz w:val="20"/>
              </w:rPr>
            </w:pPr>
            <w:r w:rsidRPr="00D668BE">
              <w:rPr>
                <w:rFonts w:ascii="Tahoma" w:eastAsia="Times New Roman" w:hAnsi="Tahoma"/>
                <w:b/>
                <w:bCs/>
                <w:color w:val="000000"/>
                <w:sz w:val="20"/>
              </w:rPr>
              <w:t>4'833.47 €</w:t>
            </w:r>
          </w:p>
        </w:tc>
      </w:tr>
      <w:tr w:rsidR="00D668BE" w14:paraId="557CFC24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C0E9A4" w14:textId="77777777" w:rsidR="00D668BE" w:rsidRDefault="00D668BE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CFFC51" w14:textId="77777777" w:rsidR="00D668BE" w:rsidRDefault="00D668BE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0F6AB1" w14:textId="77777777" w:rsidR="00D668BE" w:rsidRDefault="00D668BE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</w:p>
        </w:tc>
      </w:tr>
      <w:tr w:rsidR="00AF3EF4" w14:paraId="5CC95721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E1C3E0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3)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243734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Impianti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E667CAA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10D2D8FD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2070DE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96D35B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Impianti meccanici a fluido a servizio delle costruzioni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373AAC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1FF66B87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DB292C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9C72680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Valore dell'opera [V]: 300'000.00 €</w:t>
            </w:r>
          </w:p>
          <w:p w14:paraId="381CA1BD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Categoria dell'opera: IMPIANTI</w:t>
            </w:r>
          </w:p>
          <w:p w14:paraId="3D75B411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Destinazione funzionale: Impianti meccanici a fluido a servizio delle costruzioni</w:t>
            </w:r>
          </w:p>
          <w:p w14:paraId="6789B2EF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Parametro sul valore dell'opera [P]: 9.4439%</w:t>
            </w:r>
          </w:p>
          <w:p w14:paraId="28A274F6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Grado di complessità [G]: 0.75</w:t>
            </w:r>
          </w:p>
          <w:p w14:paraId="7B6DB7B0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Descrizione grado di complessità: [IA.01] Impianti per l'approviggionamento, la preparazione e la distribuzione di acqua nell'interno di edifici o per scopi industriali - Impianti sanitari, Impianti di fognatura domestica od industriale ed opere relative al trattamento delle acque di rifiuto - Reti di distribuzione di combustibili liquidi o gassosi - Impianti per la distribuzione dell'aria compressa, del vuoto e di gas medicali - Impianti e reti antincendio.</w:t>
            </w:r>
          </w:p>
          <w:p w14:paraId="3B2CCF3A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 xml:space="preserve">Specifiche incidenze [Q]: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116BA50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7D125633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87D310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4B8EF6B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Relazione sismica [QbI.09=0.015]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5C5B736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318.73 €</w:t>
            </w:r>
          </w:p>
        </w:tc>
      </w:tr>
      <w:tr w:rsidR="00AF3EF4" w14:paraId="24CE7A85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81DC96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F83C48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Relazione geologica: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2D9589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391ED835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3EFA50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15992B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Fino a 250'000.00 €: QbI.11=0.039; [P]: 9.9314%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6A1D2BF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726.23 €</w:t>
            </w:r>
          </w:p>
        </w:tc>
      </w:tr>
      <w:tr w:rsidR="00AF3EF4" w14:paraId="5A7BA650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59359A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C6A58AB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Sull'eccedenza fino a 300'000.00 €: QbI.11=0.0332; [P]: 16.1951%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6D87E8D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201.63 €</w:t>
            </w:r>
          </w:p>
        </w:tc>
      </w:tr>
      <w:tr w:rsidR="00AF3EF4" w:rsidRPr="00D668BE" w14:paraId="35BE0608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A822A7" w14:textId="77777777" w:rsidR="00AF3EF4" w:rsidRPr="00D668BE" w:rsidRDefault="00AF3EF4">
            <w:pPr>
              <w:spacing w:before="60" w:after="60"/>
              <w:rPr>
                <w:rFonts w:ascii="Tahoma" w:eastAsia="Times New Roman" w:hAnsi="Tahoma"/>
                <w:b/>
                <w:bCs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464778" w14:textId="77777777" w:rsidR="00AF3EF4" w:rsidRPr="00D668BE" w:rsidRDefault="00000000">
            <w:pPr>
              <w:spacing w:before="60" w:after="60"/>
              <w:rPr>
                <w:rFonts w:ascii="Tahoma" w:eastAsia="Times New Roman" w:hAnsi="Tahoma"/>
                <w:b/>
                <w:bCs/>
                <w:color w:val="000000"/>
                <w:sz w:val="20"/>
              </w:rPr>
            </w:pPr>
            <w:r w:rsidRPr="00D668BE">
              <w:rPr>
                <w:rFonts w:ascii="Tahoma" w:eastAsia="Times New Roman" w:hAnsi="Tahoma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030A887" w14:textId="77777777" w:rsidR="00AF3EF4" w:rsidRPr="00D668BE" w:rsidRDefault="00000000">
            <w:pPr>
              <w:spacing w:before="60" w:after="60"/>
              <w:jc w:val="right"/>
              <w:rPr>
                <w:rFonts w:ascii="Tahoma" w:eastAsia="Times New Roman" w:hAnsi="Tahoma"/>
                <w:b/>
                <w:bCs/>
                <w:color w:val="000000"/>
                <w:sz w:val="20"/>
              </w:rPr>
            </w:pPr>
            <w:r w:rsidRPr="00D668BE">
              <w:rPr>
                <w:rFonts w:ascii="Tahoma" w:eastAsia="Times New Roman" w:hAnsi="Tahoma"/>
                <w:b/>
                <w:bCs/>
                <w:color w:val="000000"/>
                <w:sz w:val="20"/>
              </w:rPr>
              <w:t>1'246.59 €</w:t>
            </w:r>
          </w:p>
        </w:tc>
      </w:tr>
      <w:tr w:rsidR="00D668BE" w14:paraId="55C839BC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5FA2337" w14:textId="77777777" w:rsidR="00D668BE" w:rsidRDefault="00D668BE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25EBAA" w14:textId="77777777" w:rsidR="00D668BE" w:rsidRDefault="00D668BE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CECE2B" w14:textId="77777777" w:rsidR="00D668BE" w:rsidRDefault="00D668BE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</w:p>
        </w:tc>
      </w:tr>
      <w:tr w:rsidR="00AF3EF4" w14:paraId="0B818D76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D5BD3A2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4)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6D2F519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Impianti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1194AE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4722790A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41CAED4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BAF04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Impianti meccanici a fluido a servizio delle costruzioni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26088A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3C29A4B6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8A457C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985926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Valore dell'opera [V]: 500'000.00 €</w:t>
            </w:r>
          </w:p>
          <w:p w14:paraId="26A0DC00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Categoria dell'opera: IMPIANTI</w:t>
            </w:r>
          </w:p>
          <w:p w14:paraId="0424B3A3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Destinazione funzionale: Impianti meccanici a fluido a servizio delle costruzioni</w:t>
            </w:r>
          </w:p>
          <w:p w14:paraId="0F0C1A35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Parametro sul valore dell'opera [P]: 8.2531%</w:t>
            </w:r>
          </w:p>
          <w:p w14:paraId="5E561A40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Grado di complessità [G]: 0.85</w:t>
            </w:r>
          </w:p>
          <w:p w14:paraId="2839EF87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Descrizione grado di complessità: [IA.02] Impianti di riscaldamento - Impianto di raffrescamento, climatizzazione, trattamento dell'aria - Impianti meccanici di distribuzione fluidi - Impianto solare termico.</w:t>
            </w:r>
          </w:p>
          <w:p w14:paraId="51A6E58F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 xml:space="preserve">Specifiche incidenze [Q]: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C17EC9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6A6E0887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A09CBB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A977C4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Relazione sismica [QbI.09=0.015]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0647F22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526.14 €</w:t>
            </w:r>
          </w:p>
        </w:tc>
      </w:tr>
      <w:tr w:rsidR="00AF3EF4" w14:paraId="452C2557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A0055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3FB75D4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Relazione geologica: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E3FB4B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5EF205AD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A1642E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8D1B64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Fino a 250'000.00 €: QbI.11=0.039; [P]: 9.9314%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360ADA2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823.06 €</w:t>
            </w:r>
          </w:p>
        </w:tc>
      </w:tr>
      <w:tr w:rsidR="00AF3EF4" w14:paraId="4DCA4A71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5D0B85C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3D5439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Sull'eccedenza fino a 500'000.00 €: QbI.11=0.01; [P]: 9.9314%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2D4EE64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211.04 €</w:t>
            </w:r>
          </w:p>
        </w:tc>
      </w:tr>
      <w:tr w:rsidR="00AF3EF4" w:rsidRPr="00D668BE" w14:paraId="118E7152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496C244" w14:textId="77777777" w:rsidR="00AF3EF4" w:rsidRPr="00D668BE" w:rsidRDefault="00AF3EF4">
            <w:pPr>
              <w:spacing w:before="60" w:after="60"/>
              <w:rPr>
                <w:rFonts w:ascii="Tahoma" w:eastAsia="Times New Roman" w:hAnsi="Tahoma"/>
                <w:b/>
                <w:bCs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A79627" w14:textId="77777777" w:rsidR="00AF3EF4" w:rsidRPr="00D668BE" w:rsidRDefault="00000000">
            <w:pPr>
              <w:spacing w:before="60" w:after="60"/>
              <w:rPr>
                <w:rFonts w:ascii="Tahoma" w:eastAsia="Times New Roman" w:hAnsi="Tahoma"/>
                <w:b/>
                <w:bCs/>
                <w:color w:val="000000"/>
                <w:sz w:val="20"/>
              </w:rPr>
            </w:pPr>
            <w:r w:rsidRPr="00D668BE">
              <w:rPr>
                <w:rFonts w:ascii="Tahoma" w:eastAsia="Times New Roman" w:hAnsi="Tahoma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6381BC6" w14:textId="77777777" w:rsidR="00AF3EF4" w:rsidRPr="00D668BE" w:rsidRDefault="00000000">
            <w:pPr>
              <w:spacing w:before="60" w:after="60"/>
              <w:jc w:val="right"/>
              <w:rPr>
                <w:rFonts w:ascii="Tahoma" w:eastAsia="Times New Roman" w:hAnsi="Tahoma"/>
                <w:b/>
                <w:bCs/>
                <w:color w:val="000000"/>
                <w:sz w:val="20"/>
              </w:rPr>
            </w:pPr>
            <w:r w:rsidRPr="00D668BE">
              <w:rPr>
                <w:rFonts w:ascii="Tahoma" w:eastAsia="Times New Roman" w:hAnsi="Tahoma"/>
                <w:b/>
                <w:bCs/>
                <w:color w:val="000000"/>
                <w:sz w:val="20"/>
              </w:rPr>
              <w:t>1'560.24 €</w:t>
            </w:r>
          </w:p>
        </w:tc>
      </w:tr>
      <w:tr w:rsidR="00D668BE" w14:paraId="0A234E1F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9E09F8" w14:textId="77777777" w:rsidR="00D668BE" w:rsidRDefault="00D668BE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F124E4" w14:textId="77777777" w:rsidR="00D668BE" w:rsidRDefault="00D668BE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2128B3" w14:textId="77777777" w:rsidR="00D668BE" w:rsidRDefault="00D668BE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</w:p>
        </w:tc>
      </w:tr>
      <w:tr w:rsidR="00AF3EF4" w14:paraId="25D34D4B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78AEBE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5)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D45A55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Impianti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9A4844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5842D5E9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6490200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DE85FB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Impianti elettrici e speciali a servizio delle costruzioni - singole apparecchiature per laboratori e impianti pilota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C6A8B4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7EF287AC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15214A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AADEF7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Valore dell'opera [V]: 700'000.00 €</w:t>
            </w:r>
          </w:p>
          <w:p w14:paraId="56385D5B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Categoria dell'opera: IMPIANTI</w:t>
            </w:r>
          </w:p>
          <w:p w14:paraId="4B624BAB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Destinazione funzionale: Impianti elettrici e speciali a servizio delle costruzioni - singole apparecchiature per laboratori e impianti pilota</w:t>
            </w:r>
          </w:p>
          <w:p w14:paraId="14FDB045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Parametro sul valore dell'opera [P]: 7.5916%</w:t>
            </w:r>
          </w:p>
          <w:p w14:paraId="6360160A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Grado di complessità [G]: 1.15</w:t>
            </w:r>
          </w:p>
          <w:p w14:paraId="783A68B4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Descrizione grado di complessità: [IA.03] Impianti elettrici in genere, impianti di illuminazione, telefonici, di rivelazione incendi, fotovoltaici, a corredo di edifici e costruzioni di importanza corrente - Singole apparecchiature per laboratori e impianti pilota di tipo semplice.</w:t>
            </w:r>
          </w:p>
          <w:p w14:paraId="73CFB0E2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 xml:space="preserve">Specifiche incidenze [Q]: 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1B2BC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78A54B56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4BC63A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B00697A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Relazione sismica [QbI.09=0.015]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9DB2EF5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916.69 €</w:t>
            </w:r>
          </w:p>
        </w:tc>
      </w:tr>
      <w:tr w:rsidR="00AF3EF4" w14:paraId="10063AD6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481661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8F7610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Relazione geologica: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0E9CE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3970D88B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0BEF28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6E2B7B3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Fino a 250'000.00 €: QbI.11=0.039; [P]: 9.9314%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2AE07E0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1'113.56 €</w:t>
            </w:r>
          </w:p>
        </w:tc>
      </w:tr>
      <w:tr w:rsidR="00AF3EF4" w14:paraId="42304C7A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020DE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69AC5C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Sull'eccedenza fino a 500'000.00 €: QbI.11=0.01; [P]: 9.9314%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05F262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285.53 €</w:t>
            </w:r>
          </w:p>
        </w:tc>
      </w:tr>
      <w:tr w:rsidR="00AF3EF4" w14:paraId="703F8D12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F2CAF9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618673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ab/>
              <w:t>- Sull'eccedenza fino a 700'000.00 €: QbI.11=0.0112; [P]: 10.5786%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A6FDB5F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272.50 €</w:t>
            </w:r>
          </w:p>
        </w:tc>
      </w:tr>
      <w:tr w:rsidR="00AF3EF4" w:rsidRPr="00D668BE" w14:paraId="210DC367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13E945" w14:textId="77777777" w:rsidR="00AF3EF4" w:rsidRPr="00D668BE" w:rsidRDefault="00AF3EF4">
            <w:pPr>
              <w:spacing w:before="60" w:after="60"/>
              <w:rPr>
                <w:rFonts w:ascii="Tahoma" w:eastAsia="Times New Roman" w:hAnsi="Tahoma"/>
                <w:b/>
                <w:bCs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E8CE1E" w14:textId="77777777" w:rsidR="00AF3EF4" w:rsidRPr="00D668BE" w:rsidRDefault="00000000">
            <w:pPr>
              <w:spacing w:before="60" w:after="60"/>
              <w:rPr>
                <w:rFonts w:ascii="Tahoma" w:eastAsia="Times New Roman" w:hAnsi="Tahoma"/>
                <w:b/>
                <w:bCs/>
                <w:color w:val="000000"/>
                <w:sz w:val="20"/>
              </w:rPr>
            </w:pPr>
            <w:r w:rsidRPr="00D668BE">
              <w:rPr>
                <w:rFonts w:ascii="Tahoma" w:eastAsia="Times New Roman" w:hAnsi="Tahoma"/>
                <w:b/>
                <w:bCs/>
                <w:color w:val="000000"/>
                <w:sz w:val="20"/>
              </w:rPr>
              <w:t>Totale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5380468" w14:textId="77777777" w:rsidR="00AF3EF4" w:rsidRPr="00D668BE" w:rsidRDefault="00000000">
            <w:pPr>
              <w:spacing w:before="60" w:after="60"/>
              <w:jc w:val="right"/>
              <w:rPr>
                <w:rFonts w:ascii="Tahoma" w:eastAsia="Times New Roman" w:hAnsi="Tahoma"/>
                <w:b/>
                <w:bCs/>
                <w:color w:val="000000"/>
                <w:sz w:val="20"/>
              </w:rPr>
            </w:pPr>
            <w:r w:rsidRPr="00D668BE">
              <w:rPr>
                <w:rFonts w:ascii="Tahoma" w:eastAsia="Times New Roman" w:hAnsi="Tahoma"/>
                <w:b/>
                <w:bCs/>
                <w:color w:val="000000"/>
                <w:sz w:val="20"/>
              </w:rPr>
              <w:t>2'588.28 €</w:t>
            </w:r>
          </w:p>
        </w:tc>
      </w:tr>
      <w:tr w:rsidR="00AF3EF4" w14:paraId="3C765BD7" w14:textId="77777777">
        <w:trPr>
          <w:jc w:val="center"/>
        </w:trPr>
        <w:tc>
          <w:tcPr>
            <w:tcW w:w="48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80E140C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F23CABB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TOTALE PRESTAZIONI</w:t>
            </w: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252E84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18'965.63 €</w:t>
            </w:r>
          </w:p>
        </w:tc>
      </w:tr>
      <w:tr w:rsidR="00AF3EF4" w14:paraId="6712165A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3AE1170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7DFB05B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0B7D7585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</w:tbl>
    <w:p w14:paraId="3BF06CE3" w14:textId="77777777" w:rsidR="00AF3EF4" w:rsidRDefault="00AF3EF4"/>
    <w:p w14:paraId="118E136A" w14:textId="77777777" w:rsidR="00AF3EF4" w:rsidRDefault="00AF3EF4">
      <w:pPr>
        <w:jc w:val="both"/>
        <w:rPr>
          <w:rFonts w:eastAsia="Times New Roman"/>
          <w:color w:val="000000"/>
          <w:sz w:val="20"/>
        </w:rPr>
      </w:pPr>
    </w:p>
    <w:p w14:paraId="128B7FE9" w14:textId="77777777" w:rsidR="0020328C" w:rsidRDefault="0020328C">
      <w:pPr>
        <w:jc w:val="both"/>
        <w:rPr>
          <w:rFonts w:eastAsia="Times New Roman"/>
          <w:color w:val="000000"/>
          <w:sz w:val="20"/>
        </w:rPr>
      </w:pPr>
    </w:p>
    <w:p w14:paraId="0CB6BC2E" w14:textId="77777777" w:rsidR="00AF3EF4" w:rsidRDefault="00000000">
      <w:pPr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SPESE E ONERI ACCESSORI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2"/>
        <w:gridCol w:w="7228"/>
        <w:gridCol w:w="1928"/>
      </w:tblGrid>
      <w:tr w:rsidR="00AF3EF4" w14:paraId="237F8BD3" w14:textId="77777777">
        <w:trPr>
          <w:jc w:val="center"/>
        </w:trPr>
        <w:tc>
          <w:tcPr>
            <w:tcW w:w="77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5DDC78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b/>
                <w:color w:val="000000"/>
                <w:sz w:val="16"/>
              </w:rPr>
              <w:t>Descrizione</w:t>
            </w: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0DFC46F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Importo</w:t>
            </w:r>
          </w:p>
        </w:tc>
      </w:tr>
      <w:tr w:rsidR="00AF3EF4" w14:paraId="1635EF2E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F23EBA7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0144E61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360FC644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20"/>
              </w:rPr>
              <w:t>euro</w:t>
            </w:r>
          </w:p>
        </w:tc>
      </w:tr>
      <w:tr w:rsidR="00AF3EF4" w14:paraId="6A64D467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56E56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1)</w:t>
            </w:r>
          </w:p>
        </w:tc>
        <w:tc>
          <w:tcPr>
            <w:tcW w:w="7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069CAD" w14:textId="77777777" w:rsidR="00AF3EF4" w:rsidRDefault="00000000">
            <w:pPr>
              <w:spacing w:before="60" w:after="60"/>
              <w:rPr>
                <w:rFonts w:ascii="Tahoma" w:eastAsia="Times New Roman" w:hAnsi="Tahoma"/>
                <w:b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Spese generali di studio</w:t>
            </w:r>
            <w:r w:rsidR="0020328C">
              <w:rPr>
                <w:rFonts w:ascii="Tahoma" w:eastAsia="Times New Roman" w:hAnsi="Tahoma"/>
                <w:b/>
                <w:color w:val="000000"/>
                <w:sz w:val="20"/>
              </w:rPr>
              <w:t xml:space="preserve"> </w:t>
            </w:r>
          </w:p>
          <w:p w14:paraId="31B584F8" w14:textId="77777777" w:rsidR="0020328C" w:rsidRDefault="0020328C" w:rsidP="0020328C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Spese generali di studio (forfettarie) pari al 10% del compenso per prestazioni professionali.</w:t>
            </w:r>
          </w:p>
          <w:p w14:paraId="1BBAFC22" w14:textId="77777777" w:rsidR="0020328C" w:rsidRDefault="0020328C" w:rsidP="0020328C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16"/>
              </w:rPr>
              <w:t>[10% * 18'965.63 €]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75640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20"/>
              </w:rPr>
              <w:t>1'896.56 €</w:t>
            </w:r>
          </w:p>
        </w:tc>
      </w:tr>
      <w:tr w:rsidR="00AF3EF4" w14:paraId="7D88C76F" w14:textId="77777777">
        <w:trPr>
          <w:jc w:val="center"/>
        </w:trPr>
        <w:tc>
          <w:tcPr>
            <w:tcW w:w="48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93556B3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4BDE5A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TOTALE SPESE E ONERI ACCESSORI</w:t>
            </w:r>
          </w:p>
        </w:tc>
        <w:tc>
          <w:tcPr>
            <w:tcW w:w="1928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E0DEB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1'896.56 €</w:t>
            </w:r>
          </w:p>
        </w:tc>
      </w:tr>
      <w:tr w:rsidR="00AF3EF4" w14:paraId="11246806" w14:textId="77777777">
        <w:trPr>
          <w:jc w:val="center"/>
        </w:trPr>
        <w:tc>
          <w:tcPr>
            <w:tcW w:w="4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357F014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72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5FA1E164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6050A706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</w:tbl>
    <w:p w14:paraId="3CB775A9" w14:textId="77777777" w:rsidR="00AF3EF4" w:rsidRDefault="00AF3EF4"/>
    <w:p w14:paraId="6529B92C" w14:textId="77777777" w:rsidR="0020328C" w:rsidRDefault="0020328C">
      <w:pPr>
        <w:jc w:val="both"/>
        <w:rPr>
          <w:rFonts w:ascii="Tahoma" w:eastAsia="Times New Roman" w:hAnsi="Tahoma"/>
          <w:b/>
          <w:color w:val="000000"/>
        </w:rPr>
      </w:pPr>
    </w:p>
    <w:p w14:paraId="0CB1B297" w14:textId="77777777" w:rsidR="00AF3EF4" w:rsidRDefault="00000000">
      <w:pPr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RIEPILOGO PER TIPOLOGIA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07"/>
        <w:gridCol w:w="1831"/>
      </w:tblGrid>
      <w:tr w:rsidR="00AF3EF4" w14:paraId="49B0858E" w14:textId="77777777">
        <w:trPr>
          <w:jc w:val="center"/>
        </w:trPr>
        <w:tc>
          <w:tcPr>
            <w:tcW w:w="780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1D0A06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b/>
                <w:color w:val="000000"/>
                <w:sz w:val="16"/>
              </w:rPr>
              <w:t>Descrizione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164061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Importo</w:t>
            </w:r>
          </w:p>
        </w:tc>
      </w:tr>
      <w:tr w:rsidR="00AF3EF4" w14:paraId="0C109B1B" w14:textId="77777777">
        <w:trPr>
          <w:jc w:val="center"/>
        </w:trPr>
        <w:tc>
          <w:tcPr>
            <w:tcW w:w="78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4007AE5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17762A7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20"/>
              </w:rPr>
              <w:t>euro</w:t>
            </w:r>
          </w:p>
        </w:tc>
      </w:tr>
      <w:tr w:rsidR="00AF3EF4" w14:paraId="7A944C45" w14:textId="77777777">
        <w:trPr>
          <w:jc w:val="center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1B06CA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b/>
                <w:color w:val="000000"/>
                <w:sz w:val="16"/>
              </w:rPr>
              <w:t>Prestazioni professionali: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E06520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  <w:tr w:rsidR="00AF3EF4" w14:paraId="36300817" w14:textId="77777777">
        <w:trPr>
          <w:jc w:val="center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3EF67E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20"/>
              </w:rPr>
              <w:t>Compenso per prestazioni professionali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30A53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20"/>
              </w:rPr>
              <w:t>18'965.63 €</w:t>
            </w:r>
          </w:p>
        </w:tc>
      </w:tr>
      <w:tr w:rsidR="00AF3EF4" w14:paraId="149EC39A" w14:textId="77777777">
        <w:trPr>
          <w:jc w:val="center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B33072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20"/>
              </w:rPr>
              <w:t>Spese ed oneri accessori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4567A4D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20"/>
              </w:rPr>
              <w:t>1'896.56 €</w:t>
            </w:r>
          </w:p>
        </w:tc>
      </w:tr>
      <w:tr w:rsidR="00AF3EF4" w14:paraId="349AEDF9" w14:textId="77777777">
        <w:trPr>
          <w:jc w:val="center"/>
        </w:trPr>
        <w:tc>
          <w:tcPr>
            <w:tcW w:w="78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9C2A671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B77F912" w14:textId="77777777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16"/>
              </w:rPr>
            </w:pPr>
          </w:p>
        </w:tc>
      </w:tr>
    </w:tbl>
    <w:p w14:paraId="36A83968" w14:textId="77777777" w:rsidR="0020328C" w:rsidRDefault="0020328C">
      <w:pPr>
        <w:jc w:val="both"/>
        <w:rPr>
          <w:rFonts w:ascii="Tahoma" w:eastAsia="Times New Roman" w:hAnsi="Tahoma"/>
          <w:b/>
          <w:color w:val="000000"/>
        </w:rPr>
      </w:pPr>
    </w:p>
    <w:p w14:paraId="6EAF1D5A" w14:textId="77777777" w:rsidR="00AF3EF4" w:rsidRDefault="00000000">
      <w:pPr>
        <w:jc w:val="both"/>
        <w:rPr>
          <w:rFonts w:ascii="Tahoma" w:eastAsia="Times New Roman" w:hAnsi="Tahoma"/>
          <w:b/>
          <w:color w:val="000000"/>
        </w:rPr>
      </w:pPr>
      <w:r>
        <w:rPr>
          <w:rFonts w:ascii="Tahoma" w:eastAsia="Times New Roman" w:hAnsi="Tahoma"/>
          <w:b/>
          <w:color w:val="000000"/>
        </w:rPr>
        <w:t>RIEPILOGO FINALE</w:t>
      </w: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807"/>
        <w:gridCol w:w="1831"/>
      </w:tblGrid>
      <w:tr w:rsidR="00AF3EF4" w14:paraId="375AA6E9" w14:textId="77777777">
        <w:trPr>
          <w:jc w:val="center"/>
        </w:trPr>
        <w:tc>
          <w:tcPr>
            <w:tcW w:w="780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05E5FA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  <w:r>
              <w:rPr>
                <w:rFonts w:ascii="Tahoma" w:eastAsia="Times New Roman" w:hAnsi="Tahoma"/>
                <w:b/>
                <w:color w:val="000000"/>
                <w:sz w:val="16"/>
              </w:rPr>
              <w:t>Descrizione</w:t>
            </w: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0549165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Importo</w:t>
            </w:r>
          </w:p>
        </w:tc>
      </w:tr>
      <w:tr w:rsidR="00AF3EF4" w14:paraId="670DD428" w14:textId="77777777">
        <w:trPr>
          <w:jc w:val="center"/>
        </w:trPr>
        <w:tc>
          <w:tcPr>
            <w:tcW w:w="780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BC1FC9B" w14:textId="77777777" w:rsidR="00AF3EF4" w:rsidRDefault="00AF3EF4">
            <w:pPr>
              <w:spacing w:before="60" w:after="60"/>
              <w:rPr>
                <w:rFonts w:ascii="Tahoma" w:eastAsia="Times New Roman" w:hAnsi="Tahoma"/>
                <w:color w:val="000000"/>
                <w:sz w:val="16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4C04967B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20"/>
              </w:rPr>
              <w:t>euro</w:t>
            </w:r>
          </w:p>
        </w:tc>
      </w:tr>
      <w:tr w:rsidR="00AF3EF4" w14:paraId="5D3DD11F" w14:textId="77777777">
        <w:trPr>
          <w:jc w:val="center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0FCD1" w14:textId="77777777" w:rsidR="00AF3EF4" w:rsidRDefault="00000000">
            <w:pPr>
              <w:spacing w:before="60" w:after="60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Imponibile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D3FA230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color w:val="000000"/>
                <w:sz w:val="20"/>
              </w:rPr>
              <w:t>20'862.19 €</w:t>
            </w:r>
          </w:p>
        </w:tc>
      </w:tr>
      <w:tr w:rsidR="00AF3EF4" w14:paraId="59D6E771" w14:textId="77777777">
        <w:trPr>
          <w:jc w:val="center"/>
        </w:trPr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8C6941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TOTALE DOCUMENTO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0AEB808" w14:textId="77777777" w:rsidR="00AF3EF4" w:rsidRDefault="00000000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  <w:r>
              <w:rPr>
                <w:rFonts w:ascii="Tahoma" w:eastAsia="Times New Roman" w:hAnsi="Tahoma"/>
                <w:b/>
                <w:color w:val="000000"/>
                <w:sz w:val="20"/>
              </w:rPr>
              <w:t>20'862.19 €</w:t>
            </w:r>
          </w:p>
        </w:tc>
      </w:tr>
      <w:tr w:rsidR="00AF3EF4" w14:paraId="6E3D32A1" w14:textId="77777777">
        <w:trPr>
          <w:jc w:val="center"/>
        </w:trPr>
        <w:tc>
          <w:tcPr>
            <w:tcW w:w="780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79C068" w14:textId="2F4D059F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</w:p>
        </w:tc>
        <w:tc>
          <w:tcPr>
            <w:tcW w:w="1831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DD70DE6" w14:textId="2972AC69" w:rsidR="00AF3EF4" w:rsidRDefault="00AF3EF4">
            <w:pPr>
              <w:spacing w:before="60" w:after="60"/>
              <w:jc w:val="right"/>
              <w:rPr>
                <w:rFonts w:ascii="Tahoma" w:eastAsia="Times New Roman" w:hAnsi="Tahoma"/>
                <w:color w:val="000000"/>
                <w:sz w:val="20"/>
              </w:rPr>
            </w:pPr>
          </w:p>
        </w:tc>
      </w:tr>
    </w:tbl>
    <w:p w14:paraId="2193D2B6" w14:textId="77777777" w:rsidR="00AF3EF4" w:rsidRDefault="00AF3EF4" w:rsidP="0020328C"/>
    <w:sectPr w:rsidR="00AF3EF4">
      <w:footerReference w:type="default" r:id="rId6"/>
      <w:pgSz w:w="11908" w:h="16833"/>
      <w:pgMar w:top="1134" w:right="1134" w:bottom="1134" w:left="1134" w:header="85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B738" w14:textId="77777777" w:rsidR="00254C25" w:rsidRDefault="00254C25">
      <w:r>
        <w:separator/>
      </w:r>
    </w:p>
  </w:endnote>
  <w:endnote w:type="continuationSeparator" w:id="0">
    <w:p w14:paraId="5743E3A0" w14:textId="77777777" w:rsidR="00254C25" w:rsidRDefault="00254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2328" w14:textId="77777777" w:rsidR="00AF3EF4" w:rsidRDefault="00AF3EF4">
    <w:pPr>
      <w:widowControl/>
      <w:jc w:val="both"/>
      <w:rPr>
        <w:rFonts w:ascii="Tahoma" w:eastAsia="Times New Roman" w:hAnsi="Tahoma"/>
        <w:sz w:val="20"/>
      </w:rPr>
    </w:pPr>
  </w:p>
  <w:p w14:paraId="2C1DA40D" w14:textId="77777777" w:rsidR="00AF3EF4" w:rsidRDefault="00000000">
    <w:pPr>
      <w:widowControl/>
      <w:pBdr>
        <w:top w:val="single" w:sz="6" w:space="0" w:color="auto"/>
      </w:pBdr>
      <w:spacing w:before="20"/>
      <w:jc w:val="center"/>
      <w:rPr>
        <w:rFonts w:ascii="Tahoma" w:eastAsia="Times New Roman" w:hAnsi="Tahoma"/>
        <w:sz w:val="20"/>
      </w:rPr>
    </w:pPr>
    <w:r>
      <w:rPr>
        <w:rFonts w:ascii="Tahoma" w:eastAsia="Times New Roman" w:hAnsi="Tahoma"/>
        <w:sz w:val="20"/>
      </w:rPr>
      <w:t xml:space="preserve">Pag. </w:t>
    </w:r>
    <w:r>
      <w:rPr>
        <w:rFonts w:ascii="Tahoma" w:eastAsia="Times New Roman" w:hAnsi="Tahoma"/>
        <w:sz w:val="20"/>
      </w:rPr>
      <w:fldChar w:fldCharType="begin"/>
    </w:r>
    <w:r>
      <w:rPr>
        <w:rFonts w:ascii="Tahoma" w:eastAsia="Times New Roman" w:hAnsi="Tahoma"/>
        <w:sz w:val="20"/>
      </w:rPr>
      <w:instrText>PAGE</w:instrText>
    </w:r>
    <w:r>
      <w:rPr>
        <w:rFonts w:ascii="Tahoma" w:eastAsia="Times New Roman" w:hAnsi="Tahoma"/>
        <w:sz w:val="20"/>
      </w:rPr>
      <w:fldChar w:fldCharType="separate"/>
    </w:r>
    <w:r>
      <w:rPr>
        <w:rFonts w:ascii="Tahoma" w:eastAsia="Times New Roman" w:hAnsi="Tahoma"/>
        <w:sz w:val="20"/>
      </w:rPr>
      <w:t>2</w:t>
    </w:r>
    <w:r>
      <w:rPr>
        <w:rFonts w:ascii="Tahoma" w:eastAsia="Times New Roman" w:hAnsi="Tahoma"/>
        <w:sz w:val="20"/>
      </w:rPr>
      <w:fldChar w:fldCharType="end"/>
    </w:r>
    <w:r>
      <w:rPr>
        <w:rFonts w:ascii="Tahoma" w:eastAsia="Times New Roman" w:hAnsi="Tahoma"/>
        <w:sz w:val="20"/>
      </w:rPr>
      <w:t xml:space="preserve"> di </w:t>
    </w:r>
    <w:r>
      <w:rPr>
        <w:rFonts w:ascii="Tahoma" w:eastAsia="Times New Roman" w:hAnsi="Tahoma"/>
        <w:sz w:val="20"/>
      </w:rPr>
      <w:fldChar w:fldCharType="begin"/>
    </w:r>
    <w:r>
      <w:rPr>
        <w:rFonts w:ascii="Tahoma" w:eastAsia="Times New Roman" w:hAnsi="Tahoma"/>
        <w:sz w:val="20"/>
      </w:rPr>
      <w:instrText>NUMPAGES</w:instrText>
    </w:r>
    <w:r>
      <w:rPr>
        <w:rFonts w:ascii="Tahoma" w:eastAsia="Times New Roman" w:hAnsi="Tahoma"/>
        <w:sz w:val="20"/>
      </w:rPr>
      <w:fldChar w:fldCharType="separate"/>
    </w:r>
    <w:r>
      <w:rPr>
        <w:rFonts w:ascii="Tahoma" w:eastAsia="Times New Roman" w:hAnsi="Tahoma"/>
        <w:sz w:val="20"/>
      </w:rPr>
      <w:t>5</w:t>
    </w:r>
    <w:r>
      <w:rPr>
        <w:rFonts w:ascii="Tahoma" w:eastAsia="Times New Roman" w:hAnsi="Taho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0CCB" w14:textId="77777777" w:rsidR="00254C25" w:rsidRDefault="00254C25">
      <w:r>
        <w:separator/>
      </w:r>
    </w:p>
  </w:footnote>
  <w:footnote w:type="continuationSeparator" w:id="0">
    <w:p w14:paraId="004CB268" w14:textId="77777777" w:rsidR="00254C25" w:rsidRDefault="00254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85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BAE"/>
    <w:rsid w:val="0020328C"/>
    <w:rsid w:val="00254C25"/>
    <w:rsid w:val="004B5749"/>
    <w:rsid w:val="00560214"/>
    <w:rsid w:val="00655101"/>
    <w:rsid w:val="007A571C"/>
    <w:rsid w:val="007F7BAE"/>
    <w:rsid w:val="00876ECD"/>
    <w:rsid w:val="00AF3EF4"/>
    <w:rsid w:val="00CA59C1"/>
    <w:rsid w:val="00D3672A"/>
    <w:rsid w:val="00D668BE"/>
    <w:rsid w:val="00E1308B"/>
    <w:rsid w:val="00F0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DC61A"/>
  <w14:defaultImageDpi w14:val="0"/>
  <w15:docId w15:val="{E4E30424-2C07-47EA-98E5-DBA571E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4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25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04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25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10</cp:revision>
  <cp:lastPrinted>2023-02-09T16:22:00Z</cp:lastPrinted>
  <dcterms:created xsi:type="dcterms:W3CDTF">2023-02-09T15:39:00Z</dcterms:created>
  <dcterms:modified xsi:type="dcterms:W3CDTF">2023-02-09T16:23:00Z</dcterms:modified>
</cp:coreProperties>
</file>